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32"/>
        </w:rPr>
      </w:pPr>
      <w:r>
        <w:rPr>
          <w:sz w:val="32"/>
        </w:rPr>
        <w:t xml:space="preserve">Wesentliche Unterschiede zwischen GVBG und NÖ </w:t>
      </w:r>
      <w:proofErr w:type="spellStart"/>
      <w:r>
        <w:rPr>
          <w:sz w:val="32"/>
        </w:rPr>
        <w:t>GBedG</w:t>
      </w:r>
      <w:proofErr w:type="spellEnd"/>
      <w:r>
        <w:rPr>
          <w:sz w:val="32"/>
        </w:rPr>
        <w:t xml:space="preserve"> 2025:</w:t>
      </w:r>
    </w:p>
    <w:p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4819" w:type="dxa"/>
            <w:shd w:val="clear" w:color="auto" w:fill="D9D9D9" w:themeFill="background1" w:themeFillShade="D9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GVBG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NÖ </w:t>
            </w:r>
            <w:proofErr w:type="spellStart"/>
            <w:r>
              <w:rPr>
                <w:b/>
                <w:sz w:val="32"/>
              </w:rPr>
              <w:t>GBedG</w:t>
            </w:r>
            <w:proofErr w:type="spellEnd"/>
            <w:r>
              <w:rPr>
                <w:b/>
                <w:sz w:val="32"/>
              </w:rPr>
              <w:t xml:space="preserve"> 2025</w:t>
            </w:r>
          </w:p>
        </w:tc>
      </w:tr>
      <w:tr>
        <w:tc>
          <w:tcPr>
            <w:tcW w:w="963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Aufnahme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Begründung des Dienstverhältnisses</w:t>
            </w:r>
          </w:p>
        </w:tc>
      </w:tr>
      <w:tr>
        <w:tc>
          <w:tcPr>
            <w:tcW w:w="4819" w:type="dxa"/>
          </w:tcPr>
          <w:p>
            <w:r>
              <w:t>bis einschließlich 31.12.2024</w:t>
            </w:r>
          </w:p>
          <w:p/>
          <w:p>
            <w:r>
              <w:t>Voraussetzung: freier Dienstposten und Erfüllung der allgemeinen und besonderen Anstellungserfordernisse</w:t>
            </w:r>
          </w:p>
          <w:p/>
          <w:p>
            <w:r>
              <w:t>Doppelbesetzung nur im Vertretungsfall möglich</w:t>
            </w:r>
          </w:p>
        </w:tc>
        <w:tc>
          <w:tcPr>
            <w:tcW w:w="4819" w:type="dxa"/>
          </w:tcPr>
          <w:p>
            <w:r>
              <w:t>ab 1. Jänner 2025</w:t>
            </w:r>
          </w:p>
          <w:p/>
          <w:p>
            <w:r>
              <w:t>Voraussetzung: freier Dienstposten und Erfüllung der Aufnahmeerfordernisse und der zwingenden Vorbildung</w:t>
            </w:r>
          </w:p>
          <w:p/>
          <w:p>
            <w:r>
              <w:t>Doppelbesetzung im Vertretungsfall oder im Fall der Nachbesetzung zum Zwecke der Einschulung für höchstens 1 Jahr</w:t>
            </w:r>
          </w:p>
          <w:p/>
          <w:p>
            <w:r>
              <w:t>Optionsrecht für Aufnahmen ab 1. Jänner 2022 nach GVBG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Verlängerung befristeter Dienstverhältnisse</w:t>
            </w:r>
          </w:p>
        </w:tc>
      </w:tr>
      <w:tr>
        <w:tc>
          <w:tcPr>
            <w:tcW w:w="4819" w:type="dxa"/>
          </w:tcPr>
          <w:p>
            <w:r>
              <w:t xml:space="preserve">2 x auf höchstens je 6 Monate </w:t>
            </w:r>
          </w:p>
          <w:p>
            <w:r>
              <w:t>(Musikschule: 1 x höchstens 3 Monate)</w:t>
            </w:r>
          </w:p>
        </w:tc>
        <w:tc>
          <w:tcPr>
            <w:tcW w:w="4819" w:type="dxa"/>
          </w:tcPr>
          <w:p>
            <w:r>
              <w:t>1 x auf höchstens je 12 Monate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Bestimmung der besoldungsrechtlichen Stellung</w:t>
            </w:r>
          </w:p>
        </w:tc>
      </w:tr>
      <w:tr>
        <w:tc>
          <w:tcPr>
            <w:tcW w:w="4819" w:type="dxa"/>
          </w:tcPr>
          <w:p>
            <w:r>
              <w:t>Stichtag</w:t>
            </w:r>
          </w:p>
          <w:p>
            <w:pPr>
              <w:pStyle w:val="Listenabsatz"/>
              <w:numPr>
                <w:ilvl w:val="0"/>
                <w:numId w:val="1"/>
              </w:numPr>
            </w:pPr>
            <w:r>
              <w:t>Vollanrechnung</w:t>
            </w:r>
          </w:p>
          <w:p>
            <w:pPr>
              <w:pStyle w:val="Listenabsatz"/>
              <w:numPr>
                <w:ilvl w:val="0"/>
                <w:numId w:val="1"/>
              </w:numPr>
            </w:pPr>
            <w:r>
              <w:t>vorrückungsabhängige Anrechnung</w:t>
            </w:r>
          </w:p>
          <w:p>
            <w:pPr>
              <w:pStyle w:val="Listenabsatz"/>
              <w:numPr>
                <w:ilvl w:val="0"/>
                <w:numId w:val="1"/>
              </w:numPr>
            </w:pPr>
            <w:r>
              <w:t>Anrechnung sonstiger Zeiten</w:t>
            </w:r>
          </w:p>
          <w:p>
            <w:pPr>
              <w:pStyle w:val="Listenabsatz"/>
              <w:numPr>
                <w:ilvl w:val="0"/>
                <w:numId w:val="1"/>
              </w:numPr>
            </w:pPr>
            <w:r>
              <w:t>Anrechnung mit Beschluss Gemeinderat</w:t>
            </w:r>
          </w:p>
        </w:tc>
        <w:tc>
          <w:tcPr>
            <w:tcW w:w="4819" w:type="dxa"/>
          </w:tcPr>
          <w:p>
            <w:r>
              <w:t>Anrechnung von</w:t>
            </w:r>
          </w:p>
          <w:p>
            <w:pPr>
              <w:pStyle w:val="Listenabsatz"/>
              <w:numPr>
                <w:ilvl w:val="0"/>
                <w:numId w:val="1"/>
              </w:numPr>
              <w:ind w:left="319" w:hanging="283"/>
            </w:pPr>
            <w:r>
              <w:t>Berufserfahrung (selbständig oder unselbständig) – mit GR-Beschluss</w:t>
            </w:r>
          </w:p>
          <w:p>
            <w:pPr>
              <w:pStyle w:val="Listenabsatz"/>
              <w:numPr>
                <w:ilvl w:val="0"/>
                <w:numId w:val="1"/>
              </w:numPr>
              <w:ind w:left="319" w:hanging="283"/>
            </w:pPr>
            <w:r>
              <w:t xml:space="preserve">zwingender Vorbildung </w:t>
            </w:r>
            <w:r>
              <w:br/>
              <w:t xml:space="preserve">d.h. Studium </w:t>
            </w:r>
            <w:proofErr w:type="spellStart"/>
            <w:r>
              <w:t>max</w:t>
            </w:r>
            <w:proofErr w:type="spellEnd"/>
            <w:r>
              <w:t xml:space="preserve"> 6 Jahre oder Schulzeit </w:t>
            </w:r>
            <w:proofErr w:type="spellStart"/>
            <w:r>
              <w:t>max</w:t>
            </w:r>
            <w:proofErr w:type="spellEnd"/>
            <w:r>
              <w:t xml:space="preserve"> 2 Jahre (mit GR-Beschluss)</w:t>
            </w:r>
          </w:p>
          <w:p>
            <w:pPr>
              <w:ind w:left="36"/>
            </w:pPr>
          </w:p>
          <w:p>
            <w:pPr>
              <w:ind w:left="36"/>
            </w:pPr>
            <w:r>
              <w:t>Anstelle Anrechnung Berufserfahrung ist die Zuerkennung einer „aufsaugbaren“ Erfahrungszulage durch GR möglich.</w:t>
            </w:r>
          </w:p>
          <w:p>
            <w:pPr>
              <w:ind w:left="36"/>
            </w:pPr>
          </w:p>
          <w:p>
            <w:pPr>
              <w:ind w:left="36"/>
            </w:pPr>
            <w:r>
              <w:t>Belehrung über Anrechnungsbestimmung und Vorlagepflicht innerhalb von 6 Monaten; bei Versäumnis der Vorlage von Urkunden – kein Anspruch auf Anrechnung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Vorrückung</w:t>
            </w:r>
          </w:p>
        </w:tc>
      </w:tr>
      <w:tr>
        <w:tc>
          <w:tcPr>
            <w:tcW w:w="4819" w:type="dxa"/>
          </w:tcPr>
          <w:p>
            <w:r>
              <w:t>Vorrückungszeitraum:</w:t>
            </w:r>
          </w:p>
          <w:p>
            <w:r>
              <w:t>von ESt 1 in ESt 2 nach 5 Jahren</w:t>
            </w:r>
          </w:p>
          <w:p>
            <w:r>
              <w:t>in jede weiter ESt nach 2 Jahren</w:t>
            </w:r>
          </w:p>
        </w:tc>
        <w:tc>
          <w:tcPr>
            <w:tcW w:w="4819" w:type="dxa"/>
          </w:tcPr>
          <w:p>
            <w:r>
              <w:t>Zeitraum des Erfahrungsanstiegs:</w:t>
            </w:r>
          </w:p>
          <w:p>
            <w:r>
              <w:t>generell 6 Jahre</w:t>
            </w:r>
          </w:p>
        </w:tc>
      </w:tr>
    </w:tbl>
    <w:p/>
    <w:p>
      <w:r>
        <w:br w:type="page"/>
      </w:r>
    </w:p>
    <w:p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Entlohnung nach höherer Gruppe und außerordentliche Zuwendungen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Entlohnung nach höherer Gruppe</w:t>
            </w:r>
          </w:p>
        </w:tc>
      </w:tr>
      <w:tr>
        <w:tc>
          <w:tcPr>
            <w:tcW w:w="4819" w:type="dxa"/>
          </w:tcPr>
          <w:p>
            <w:r>
              <w:t>nicht möglich (bzw. allenfalls im Ausnahmefall durch Sondervertrag)</w:t>
            </w:r>
          </w:p>
        </w:tc>
        <w:tc>
          <w:tcPr>
            <w:tcW w:w="4819" w:type="dxa"/>
          </w:tcPr>
          <w:p>
            <w:r>
              <w:t>Anspruch auf Verwendungsaufstieg bei Vorliegen bestimmter Vorbildung (z.B. Bachelorstudium IGP) und siebenjähriger Verwendung sowie Leistungsbeurteilung „Arbeitserfolg durch besondere Leistungen überschritten“</w:t>
            </w:r>
          </w:p>
          <w:p/>
          <w:p>
            <w:r>
              <w:t>(Anmerkung: Sonderverträge nach wie vor im begründeten Ausnahmefall möglich)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außerordentliche Zuwendungen</w:t>
            </w:r>
          </w:p>
        </w:tc>
      </w:tr>
      <w:tr>
        <w:tc>
          <w:tcPr>
            <w:tcW w:w="4819" w:type="dxa"/>
          </w:tcPr>
          <w:p>
            <w:r>
              <w:t>Für besondere Leistungen, die nicht nach anderen Vorschriften abzugelten sind, können mit Beschluss Gemeinderat Belohnungen gewährt werden.</w:t>
            </w:r>
          </w:p>
        </w:tc>
        <w:tc>
          <w:tcPr>
            <w:tcW w:w="4819" w:type="dxa"/>
          </w:tcPr>
          <w:p>
            <w:r>
              <w:t>einmalige außerordentlichen Zuwendung bis zum Höchstbetrag des letzten Monatsbezuges mit Beschluss Gemeinderat für besondere dienstliche Leistungen</w:t>
            </w:r>
          </w:p>
        </w:tc>
      </w:tr>
    </w:tbl>
    <w:p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Funktionen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Funktionsdienstposten</w:t>
            </w:r>
          </w:p>
        </w:tc>
      </w:tr>
      <w:tr>
        <w:tc>
          <w:tcPr>
            <w:tcW w:w="4819" w:type="dxa"/>
          </w:tcPr>
          <w:p>
            <w:r>
              <w:t>Dienstposten des leitenden Gemeindebediensteten</w:t>
            </w:r>
          </w:p>
          <w:p/>
          <w:p>
            <w:r>
              <w:t>Dienstposten eines Leiters einer Abteilung, eines Amtes oder Referates sowie einer wirtschaftlichen Unternehmung</w:t>
            </w:r>
          </w:p>
          <w:p/>
          <w:p>
            <w:r>
              <w:t xml:space="preserve">die mit einem Leiterposten vergleichbaren Dienstposten </w:t>
            </w:r>
          </w:p>
          <w:p/>
          <w:p>
            <w:r>
              <w:t xml:space="preserve">Dienstposten mit hervorgehobener Verwendung </w:t>
            </w:r>
          </w:p>
          <w:p/>
        </w:tc>
        <w:tc>
          <w:tcPr>
            <w:tcW w:w="4819" w:type="dxa"/>
          </w:tcPr>
          <w:p>
            <w:r>
              <w:t xml:space="preserve">Dienstposten der Amtsleitung </w:t>
            </w:r>
          </w:p>
          <w:p/>
          <w:p>
            <w:r>
              <w:t xml:space="preserve">Dienstposten der Leitung einer Abteilung, eines Fachbereichs oder Referates, einer Schule sowie einer wirtschaftlichen Unternehmung </w:t>
            </w:r>
          </w:p>
          <w:p>
            <w:r>
              <w:t>die mit einem Leitungsposten vergleichbaren Dienstposten (Schlüsselkräfte)</w:t>
            </w:r>
          </w:p>
          <w:p/>
          <w:p>
            <w:r>
              <w:t>Dienstposten mit hervorgehobener Verwendung (Fachexpertinnen und Fachexperten)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Funktionsgruppen</w:t>
            </w:r>
          </w:p>
        </w:tc>
      </w:tr>
      <w:tr>
        <w:tc>
          <w:tcPr>
            <w:tcW w:w="4819" w:type="dxa"/>
          </w:tcPr>
          <w:p>
            <w:r>
              <w:t>Entlohnung nach Funktionsgruppenschema anstelle nach Entlohnungsgruppen (Verwaltung und handwerklicher Dienst)</w:t>
            </w:r>
          </w:p>
          <w:p/>
          <w:p>
            <w:r>
              <w:t>Entlohnung durch Leitungszulage (Musikschulen)</w:t>
            </w:r>
          </w:p>
        </w:tc>
        <w:tc>
          <w:tcPr>
            <w:tcW w:w="4819" w:type="dxa"/>
          </w:tcPr>
          <w:p>
            <w:r>
              <w:t>Entlohnung durch Funktionszulage zum Monatsbezug</w:t>
            </w:r>
          </w:p>
        </w:tc>
      </w:tr>
    </w:tbl>
    <w:p/>
    <w:p>
      <w:r>
        <w:br w:type="page"/>
      </w: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Bezüge und Nebengebühren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Sozialleistung</w:t>
            </w:r>
          </w:p>
        </w:tc>
      </w:tr>
      <w:tr>
        <w:tc>
          <w:tcPr>
            <w:tcW w:w="4819" w:type="dxa"/>
          </w:tcPr>
          <w:p>
            <w:r>
              <w:t>Kinderzulage</w:t>
            </w:r>
          </w:p>
          <w:p>
            <w:r>
              <w:t>bis zu zwei Kinder € 24,78</w:t>
            </w:r>
          </w:p>
          <w:p>
            <w:r>
              <w:t>drei oder vier Kinder € 31,06</w:t>
            </w:r>
          </w:p>
          <w:p>
            <w:r>
              <w:t>mehr als vier Kinder € 38,66</w:t>
            </w:r>
          </w:p>
          <w:p/>
          <w:p>
            <w:r>
              <w:t>Kinderzuschuss (Musikschule):</w:t>
            </w:r>
          </w:p>
          <w:p>
            <w:r>
              <w:t>€ 15,60 pro Kind</w:t>
            </w:r>
          </w:p>
        </w:tc>
        <w:tc>
          <w:tcPr>
            <w:tcW w:w="4819" w:type="dxa"/>
          </w:tcPr>
          <w:p>
            <w:r>
              <w:t>Kinderzuschuss</w:t>
            </w:r>
          </w:p>
          <w:p>
            <w:r>
              <w:t>bis zu zwei Kinder € 25,04</w:t>
            </w:r>
          </w:p>
          <w:p>
            <w:r>
              <w:t>drei oder vier Kinder € 31,39</w:t>
            </w:r>
          </w:p>
          <w:p>
            <w:r>
              <w:t>mehr als vier Kinder € 39,07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Reisegebühren</w:t>
            </w:r>
          </w:p>
        </w:tc>
      </w:tr>
      <w:tr>
        <w:tc>
          <w:tcPr>
            <w:tcW w:w="4819" w:type="dxa"/>
          </w:tcPr>
          <w:p>
            <w:r>
              <w:t>entsprechend Festsetzung durch GR</w:t>
            </w:r>
          </w:p>
        </w:tc>
        <w:tc>
          <w:tcPr>
            <w:tcW w:w="4819" w:type="dxa"/>
          </w:tcPr>
          <w:p>
            <w:r>
              <w:t>nach § 99 ff NÖ LBG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Fahrtkostenzuschuss</w:t>
            </w:r>
          </w:p>
        </w:tc>
      </w:tr>
      <w:tr>
        <w:tc>
          <w:tcPr>
            <w:tcW w:w="4819" w:type="dxa"/>
          </w:tcPr>
          <w:p>
            <w:r>
              <w:t>für tägliche oder wöchentliche Fahrten (Verwaltung und handwerkliche Verwendung)</w:t>
            </w:r>
          </w:p>
          <w:p/>
          <w:p>
            <w:r>
              <w:t>bei Geltendmachung der Pendlerpauschale</w:t>
            </w:r>
          </w:p>
        </w:tc>
        <w:tc>
          <w:tcPr>
            <w:tcW w:w="4819" w:type="dxa"/>
          </w:tcPr>
          <w:p>
            <w:r>
              <w:t>-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Sonderzulagen</w:t>
            </w:r>
          </w:p>
        </w:tc>
      </w:tr>
      <w:tr>
        <w:tc>
          <w:tcPr>
            <w:tcW w:w="4819" w:type="dxa"/>
          </w:tcPr>
          <w:p>
            <w:r>
              <w:t>Verwaltung und handwerkliche Verwendung: Schmutz-, Erschwernis-, Gefahrenzulage, Fehlgeldentschädigung und ähnliche Zulagen (z.B. Bildschirmzulage)</w:t>
            </w:r>
          </w:p>
          <w:p>
            <w:r>
              <w:t>4 %-Sonderzulage</w:t>
            </w:r>
          </w:p>
          <w:p>
            <w:r>
              <w:t>Überstundenvergütung</w:t>
            </w:r>
          </w:p>
          <w:p/>
          <w:p>
            <w:r>
              <w:t>Musikschulen:</w:t>
            </w:r>
          </w:p>
          <w:p>
            <w:r>
              <w:t>Überstundenvergütung</w:t>
            </w:r>
          </w:p>
        </w:tc>
        <w:tc>
          <w:tcPr>
            <w:tcW w:w="4819" w:type="dxa"/>
          </w:tcPr>
          <w:p>
            <w:r>
              <w:t>Schmutz-, Erschwernis-, Gefahrenzulage, Fehlgeldentschädigung</w:t>
            </w:r>
          </w:p>
          <w:p>
            <w:r>
              <w:t>Überstundenvergütung</w:t>
            </w:r>
          </w:p>
          <w:p>
            <w:r>
              <w:t>keine sonstigen Sonderzulagen wie z.B. Bildschirmzulage, 4 %-Sonderzulage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Abgeltung qualitativer Mehrarbeit</w:t>
            </w:r>
          </w:p>
        </w:tc>
      </w:tr>
      <w:tr>
        <w:tc>
          <w:tcPr>
            <w:tcW w:w="4819" w:type="dxa"/>
          </w:tcPr>
          <w:p>
            <w:r>
              <w:t>nur für Funktionsdienstposteninhaber:</w:t>
            </w:r>
          </w:p>
          <w:p>
            <w:r>
              <w:t>keine leistungsbezogenen Nebengebühren (Grundsatz);</w:t>
            </w:r>
          </w:p>
          <w:p/>
          <w:p>
            <w:r>
              <w:t>In begründeten Fällen oder wenn die Bedeutung des Dienstpostens die Verantwortlichkeit vergleichbarer Funktionen erheblich übersteigt, kann der GR im Einzelfall qualitative Leistungen zusätzlich abgelten (Ausnahme)</w:t>
            </w:r>
          </w:p>
        </w:tc>
        <w:tc>
          <w:tcPr>
            <w:tcW w:w="4819" w:type="dxa"/>
          </w:tcPr>
          <w:p>
            <w:r>
              <w:t>Qualitative Leistungszulage;</w:t>
            </w:r>
          </w:p>
          <w:p/>
          <w:p>
            <w:r>
              <w:t>durch Beschluss GR (Nebengebühr), wenn die Bedeutung des Dienstpostens die Verantwortlichkeit vergleichbarer Verwendungen erheblich übersteigt.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Ruhen von pauschalierten Nebengebühren</w:t>
            </w:r>
          </w:p>
        </w:tc>
      </w:tr>
      <w:tr>
        <w:tc>
          <w:tcPr>
            <w:tcW w:w="4819" w:type="dxa"/>
          </w:tcPr>
          <w:p>
            <w:r>
              <w:t>Festlegung durch GR</w:t>
            </w:r>
          </w:p>
        </w:tc>
        <w:tc>
          <w:tcPr>
            <w:tcW w:w="4819" w:type="dxa"/>
          </w:tcPr>
          <w:p>
            <w:r>
              <w:t>nach vier Wochen ununterbrochener Abwesenheit (ausgenommen Erholungsurlaub), soweit nicht infolge Entgeltfortzahlungsregelung bereits eingestellt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Studienbeihilfe</w:t>
            </w:r>
          </w:p>
        </w:tc>
      </w:tr>
      <w:tr>
        <w:tc>
          <w:tcPr>
            <w:tcW w:w="4819" w:type="dxa"/>
          </w:tcPr>
          <w:p>
            <w:r>
              <w:t>Verwaltung und handwerkliche Verwendung:</w:t>
            </w:r>
          </w:p>
          <w:p>
            <w:r>
              <w:t>bei Anspruch auf Kinderzulage und Besuch einer anderen Schule als die Pflichtschule ab der 9. oder einer höheren Schulstufe</w:t>
            </w:r>
          </w:p>
        </w:tc>
        <w:tc>
          <w:tcPr>
            <w:tcW w:w="4819" w:type="dxa"/>
          </w:tcPr>
          <w:p>
            <w:r>
              <w:t>-</w:t>
            </w:r>
          </w:p>
        </w:tc>
      </w:tr>
    </w:tbl>
    <w:p/>
    <w:p>
      <w:r>
        <w:br w:type="page"/>
      </w:r>
    </w:p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Jubiläumsbelohnung</w:t>
            </w:r>
          </w:p>
        </w:tc>
      </w:tr>
      <w:tr>
        <w:tc>
          <w:tcPr>
            <w:tcW w:w="4819" w:type="dxa"/>
          </w:tcPr>
          <w:p>
            <w:r>
              <w:t>bei 25- und 40jähriger Dienstzeit: 200 bzw. 400 % des Monatsbezuges im Dezember;</w:t>
            </w:r>
          </w:p>
          <w:p/>
          <w:p/>
          <w:p/>
          <w:p>
            <w:r>
              <w:t xml:space="preserve">Dienstzeit = </w:t>
            </w:r>
          </w:p>
          <w:p>
            <w:pPr>
              <w:pStyle w:val="Listenabsatz"/>
              <w:numPr>
                <w:ilvl w:val="0"/>
                <w:numId w:val="1"/>
              </w:numPr>
            </w:pPr>
            <w:r>
              <w:t>im bestehenden Dienstverhältnis, soweit für die Vorrückung anrechenbar</w:t>
            </w:r>
          </w:p>
          <w:p>
            <w:pPr>
              <w:pStyle w:val="Listenabsatz"/>
              <w:numPr>
                <w:ilvl w:val="0"/>
                <w:numId w:val="1"/>
              </w:numPr>
            </w:pPr>
            <w:r>
              <w:t>Vollanrechnungszeiten beim Stichtag (z.B. Dienstverhältnisse Gebietskörperschaften, Schul- und Studienzeiten)</w:t>
            </w:r>
          </w:p>
          <w:p/>
        </w:tc>
        <w:tc>
          <w:tcPr>
            <w:tcW w:w="4819" w:type="dxa"/>
          </w:tcPr>
          <w:p>
            <w:r>
              <w:t>bei 5-, 10-, 15-, 25- und 40jähriger Dienstzeit:</w:t>
            </w:r>
          </w:p>
          <w:p>
            <w:r>
              <w:t>50 %, 100 %, 100%, 150 % bzw. 200 % des Monatsbezuges zum Zeitpunkt der Vollendung der Dienstzeit; Auszahlung im Dezember</w:t>
            </w:r>
          </w:p>
          <w:p/>
          <w:p>
            <w:r>
              <w:t>Dienstzeit =</w:t>
            </w:r>
          </w:p>
          <w:p>
            <w:pPr>
              <w:pStyle w:val="Listenabsatz"/>
              <w:numPr>
                <w:ilvl w:val="0"/>
                <w:numId w:val="1"/>
              </w:numPr>
            </w:pPr>
            <w:r>
              <w:t>die im Dienstverhältnis zur Gemeinde zurückgelegte Zeit, soweit sie für den Erfahrungsanstieg uneingeschränkt anzurechnen ist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Entgeltfortzahlung</w:t>
            </w:r>
          </w:p>
        </w:tc>
      </w:tr>
      <w:tr>
        <w:tc>
          <w:tcPr>
            <w:tcW w:w="4819" w:type="dxa"/>
          </w:tcPr>
          <w:p>
            <w:r>
              <w:t>100 % Monatsbezug</w:t>
            </w:r>
          </w:p>
          <w:p>
            <w:r>
              <w:t>bis 5 Jahren Dienstverhältnis:  42 Kalendertage</w:t>
            </w:r>
          </w:p>
          <w:p>
            <w:r>
              <w:t>5 bis 10 Jahre Dienstverhältnis: 91 Kalendertage</w:t>
            </w:r>
          </w:p>
          <w:p>
            <w:r>
              <w:t>ab 10 Jahren Dienstverhältnis: 182 Kalendertage</w:t>
            </w:r>
          </w:p>
          <w:p/>
          <w:p>
            <w:r>
              <w:t>49 % Monatsbezug im Anschluss für dieselben Zeiträume (Verwaltung und handwerkliche Verwendung)</w:t>
            </w:r>
          </w:p>
          <w:p/>
          <w:p>
            <w:r>
              <w:t>50 % Monatsbezug im Anschluss für dieselben Zeiträume (Musikschule)</w:t>
            </w:r>
          </w:p>
          <w:p/>
          <w:p/>
          <w:p>
            <w:r>
              <w:t>Zusammenrechnungsregel:</w:t>
            </w:r>
          </w:p>
          <w:p>
            <w:r>
              <w:t>neuerliche Dienstverhinderung innerhalb von 6 Monaten nach Wiederantritt des Dienstes nach „Ersterkrankung“.</w:t>
            </w:r>
          </w:p>
          <w:p/>
          <w:p/>
          <w:p>
            <w:r>
              <w:t>Ausnahmen bei Unfall und Unfall im Dienst</w:t>
            </w:r>
          </w:p>
          <w:p/>
          <w:p/>
        </w:tc>
        <w:tc>
          <w:tcPr>
            <w:tcW w:w="4819" w:type="dxa"/>
          </w:tcPr>
          <w:p>
            <w:r>
              <w:t>100 % Monatsbezug und Nebengebühren:</w:t>
            </w:r>
          </w:p>
          <w:p>
            <w:r>
              <w:t>42 Kalendertage</w:t>
            </w:r>
          </w:p>
          <w:p/>
          <w:p/>
          <w:p/>
          <w:p>
            <w:r>
              <w:t>40 % Monatsbezug und Nebengebühren:</w:t>
            </w:r>
          </w:p>
          <w:p>
            <w:r>
              <w:t>bis 5 Jahre Dienstverhältnis: 42 Kalendertage</w:t>
            </w:r>
          </w:p>
          <w:p>
            <w:r>
              <w:t>ab 5 Dienstverhältnis: 140 Kalendertage</w:t>
            </w:r>
          </w:p>
          <w:p/>
          <w:p>
            <w:r>
              <w:t>20 % Monatsbezug und Nebengebühren:</w:t>
            </w:r>
          </w:p>
          <w:p>
            <w:r>
              <w:t>ab 10 Jahren Dienstverhältnis: 182 Kalendertage</w:t>
            </w:r>
          </w:p>
          <w:p/>
          <w:p/>
          <w:p>
            <w:r>
              <w:t>Zusammenrechnungsregel:</w:t>
            </w:r>
          </w:p>
          <w:p>
            <w:r>
              <w:t>Dienstverhinderungen mit Unterbrechungen von weniger als 6 Monaten innerhalb der letzten 3 Jahre sind zusammenzurechnen.</w:t>
            </w:r>
          </w:p>
          <w:p/>
          <w:p/>
          <w:p>
            <w:r>
              <w:t>Ausnahmen bei Unfall im Dienst</w:t>
            </w:r>
          </w:p>
        </w:tc>
      </w:tr>
    </w:tbl>
    <w:p/>
    <w:p>
      <w:r>
        <w:br w:type="page"/>
      </w:r>
    </w:p>
    <w:p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Urlaub und Ferien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Urlaub und Ferien </w:t>
            </w:r>
          </w:p>
        </w:tc>
      </w:tr>
      <w:tr>
        <w:tc>
          <w:tcPr>
            <w:tcW w:w="4819" w:type="dxa"/>
          </w:tcPr>
          <w:p>
            <w:r>
              <w:t xml:space="preserve">Die Lehrkräfte </w:t>
            </w:r>
            <w:r>
              <w:t>dürfen sich, soweit nicht besondere</w:t>
            </w:r>
            <w:r>
              <w:t xml:space="preserve"> Verpflichtungen (Vertretung der Leitung</w:t>
            </w:r>
            <w:r>
              <w:t>, Abhaltung von Prüfungen u. dgl.) entgegenstehen, während der Hauptferien von dem Ort ihrer Lehrtätigkeit entfernen.</w:t>
            </w:r>
          </w:p>
          <w:p>
            <w:r>
              <w:t xml:space="preserve">Während der sonstigen </w:t>
            </w:r>
            <w:r>
              <w:t>Ferien</w:t>
            </w:r>
            <w:r>
              <w:t xml:space="preserve"> haben die </w:t>
            </w:r>
            <w:r>
              <w:t>Lehrkräfte</w:t>
            </w:r>
            <w:r>
              <w:t xml:space="preserve"> gegen Meldung bei der </w:t>
            </w:r>
            <w:r>
              <w:t>Musikschulleitung</w:t>
            </w:r>
            <w:r>
              <w:t xml:space="preserve"> die Befugnis zur Entfernung vom Dienstort, wenn nicht besondere dienstliche Verhältnisse ihre Anwesenheit an der Schule erfordern.</w:t>
            </w:r>
          </w:p>
          <w:p/>
          <w:p>
            <w:r>
              <w:t>Die Musikschulleitung hat</w:t>
            </w:r>
            <w:r>
              <w:t xml:space="preserve">, wenn für die klaglose Erledigung dringender Amtsgeschäfte vorgesorgt ist und nicht besondere dienstliche Rücksichten die persönliche Anwesenheit </w:t>
            </w:r>
            <w:r>
              <w:t>der Leitung</w:t>
            </w:r>
            <w:r>
              <w:t xml:space="preserve"> im Dienstort erfordern, Anspruch auf einen Urlaub während der Hauptferien, der erst nach Abwicklung der Schlu</w:t>
            </w:r>
            <w:r>
              <w:t>ss</w:t>
            </w:r>
            <w:r>
              <w:t>geschäfte beginnt und fünf Tage vor Anfang des folgenden Schuljahres endet.</w:t>
            </w:r>
          </w:p>
          <w:p/>
          <w:p/>
          <w:p>
            <w:r>
              <w:t>Die Lehrkräfte können</w:t>
            </w:r>
            <w:r>
              <w:t xml:space="preserve"> aus wichtigen dienstlichen Gründen während eines Ferienurlaubes zur Dienstleistung zurückberufen werden. In diesem Falle ist ihm, sobald es der Dienst gestattet, die Fortsetzung des Ferienurlaubes zu ermöglichen.</w:t>
            </w:r>
          </w:p>
        </w:tc>
        <w:tc>
          <w:tcPr>
            <w:tcW w:w="4819" w:type="dxa"/>
          </w:tcPr>
          <w:p>
            <w:r>
              <w:t>Die Lehrkräfte sind während der Schulferien vom Dienst beurlaubt, soweit nicht besondere Verpflichtungen (Vertretung der Schulleitung, Abhaltung von Prüfungen, sonstige Tätigkeiten gemäß § 111 Abs. 5 u. dgl.) entgegenstehen.</w:t>
            </w:r>
          </w:p>
          <w:p>
            <w:r>
              <w:t>An den sonstigen schulfreien Tagen besteht keine Verpflichtung zur Dienstleistung, wenn nicht besondere dienstliche Verhältnisse entgegenstehen.</w:t>
            </w:r>
          </w:p>
          <w:p/>
          <w:p/>
          <w:p/>
          <w:p>
            <w:r>
              <w:t>Die Schulleitung ist verpflichtet, die ersten und letzten drei Werktage der Hauptferien</w:t>
            </w:r>
            <w:r>
              <w:t xml:space="preserve"> am Dienstort anwesend zu sein. </w:t>
            </w:r>
            <w:r>
              <w:t>Im Übrigen hat die Schulleitung für die Wahrnehmung von unaufschiebbaren Leitungsgeschäften während der Schulferien zu sorgen, wobei sie auch Lehrkräfte unter tunlicher Berücksichtigung berechtigter Wünsche in möglichst gleichem Maße heranziehen kann.</w:t>
            </w:r>
          </w:p>
          <w:p/>
          <w:p>
            <w:r>
              <w:t>Die Lehrkräfte können aus wichtigen dienstlichen Gründen während der Schulferien und der sonstigen schulfreien Tage zur Dienstleistung zurückberufen werden. Sobald es der Dienst gestattet, ist die Rückberufung zu beenden.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Urlaubsersatzleistung</w:t>
            </w:r>
          </w:p>
        </w:tc>
      </w:tr>
      <w:tr>
        <w:tc>
          <w:tcPr>
            <w:tcW w:w="4819" w:type="dxa"/>
          </w:tcPr>
          <w:p>
            <w:r>
              <w:t>maximal 4 Wochen pro Urlaubsjahr</w:t>
            </w:r>
          </w:p>
        </w:tc>
        <w:tc>
          <w:tcPr>
            <w:tcW w:w="4819" w:type="dxa"/>
          </w:tcPr>
          <w:p>
            <w:r>
              <w:t>maximal 240 Arbeitsstunden pro Urlaubsjahr</w:t>
            </w:r>
          </w:p>
          <w:p/>
          <w:p>
            <w:r>
              <w:t>Ausnahme:</w:t>
            </w:r>
          </w:p>
          <w:p>
            <w:r>
              <w:t>bei Entlassung, ex lege Beendigung infolge unentschuldigter Abwesenheit oder Amtsverlust maximal 4 Wochen pro Urlaubsjahr</w:t>
            </w:r>
          </w:p>
        </w:tc>
      </w:tr>
    </w:tbl>
    <w:p/>
    <w:p>
      <w:r>
        <w:br w:type="page"/>
      </w:r>
    </w:p>
    <w:p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Pflichtverletzungen und Missstände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Leistungsbeurteilung</w:t>
            </w:r>
          </w:p>
        </w:tc>
      </w:tr>
      <w:tr>
        <w:tc>
          <w:tcPr>
            <w:tcW w:w="4819" w:type="dxa"/>
          </w:tcPr>
          <w:p>
            <w:r>
              <w:t>möglich – gesetzlich nicht normiert</w:t>
            </w:r>
          </w:p>
        </w:tc>
        <w:tc>
          <w:tcPr>
            <w:tcW w:w="4819" w:type="dxa"/>
          </w:tcPr>
          <w:p>
            <w:r>
              <w:t>gesetzlich normiert bei Pflichtverletzungen oder Missständen, die keine Kündigung, Entlassung oder Funktionsabberufung unmittelbar zur Folge haben</w:t>
            </w:r>
          </w:p>
        </w:tc>
      </w:tr>
    </w:tbl>
    <w:p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Beendigung des Dienstverhältnisses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Kündigung</w:t>
            </w:r>
          </w:p>
        </w:tc>
      </w:tr>
      <w:tr>
        <w:tc>
          <w:tcPr>
            <w:tcW w:w="4819" w:type="dxa"/>
          </w:tcPr>
          <w:p>
            <w:r>
              <w:t>keine Kündigungsmöglichkeit bei befristeten Dienstverhältnissen</w:t>
            </w:r>
          </w:p>
          <w:p/>
          <w:p/>
          <w:p/>
          <w:p>
            <w:r>
              <w:t>schriftliche Kündigung bei unbefristeten Dienstverhältnissen nach Ablauf von 1 Jahren nur mit hinreichendem Kündigungsgrund</w:t>
            </w:r>
          </w:p>
        </w:tc>
        <w:tc>
          <w:tcPr>
            <w:tcW w:w="4819" w:type="dxa"/>
          </w:tcPr>
          <w:p>
            <w:r>
              <w:t>mit Kündigungsklausel im Dienstvertrag ist schriftliche Kündigung bei befristeten Dienstverhältnissen zulässig nach mindestens einjähriger Dienstzeit</w:t>
            </w:r>
          </w:p>
          <w:p/>
          <w:p>
            <w:r>
              <w:t>Kündigung bei unbefristeten Dienstverhältnissen nach Ablauf von 3 Jahren nur mit hinreichendem Kündigungsgrund</w:t>
            </w:r>
          </w:p>
          <w:p/>
          <w:p>
            <w:r>
              <w:t>Erfordernis: jedenfalls Schriftform</w:t>
            </w:r>
          </w:p>
          <w:p/>
          <w:p>
            <w:r>
              <w:t>Kündigungsanfechtung nur binnen eines Monats nach Zugang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vorzeitige Auflösung</w:t>
            </w:r>
          </w:p>
        </w:tc>
      </w:tr>
      <w:tr>
        <w:tc>
          <w:tcPr>
            <w:tcW w:w="4819" w:type="dxa"/>
          </w:tcPr>
          <w:p>
            <w:r>
              <w:t>Entlassungsmöglichkeit, wenn ohne einen wichtigen Hinderungsgrund während einer den Umständen nach erheblichen Zeit die Dienstleistung unterlassen wird;</w:t>
            </w:r>
          </w:p>
        </w:tc>
        <w:tc>
          <w:tcPr>
            <w:tcW w:w="4819" w:type="dxa"/>
          </w:tcPr>
          <w:p>
            <w:r>
              <w:t>Auflösung ex lege bei einer ungerechtfertigten Abwesenheit vom Dienst von ununterbrochen 5 Arbeitstagen mit Ablauf des 5. Tages</w:t>
            </w:r>
          </w:p>
          <w:p/>
          <w:p/>
          <w:p>
            <w:r>
              <w:t>Entlassungsanfechtung nur binnen eines Monats nach Zugang</w:t>
            </w:r>
          </w:p>
        </w:tc>
      </w:tr>
    </w:tbl>
    <w:p/>
    <w:tbl>
      <w:tblPr>
        <w:tblStyle w:val="Tabellenraster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c>
          <w:tcPr>
            <w:tcW w:w="9638" w:type="dxa"/>
            <w:gridSpan w:val="2"/>
            <w:vAlign w:val="center"/>
          </w:tcPr>
          <w:p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Sonstige Neuerungen</w:t>
            </w:r>
          </w:p>
        </w:tc>
      </w:tr>
      <w:tr>
        <w:tc>
          <w:tcPr>
            <w:tcW w:w="96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Maßnahmen für einen längeren Verbleib im Erwerbsleben</w:t>
            </w:r>
          </w:p>
        </w:tc>
      </w:tr>
      <w:tr>
        <w:tc>
          <w:tcPr>
            <w:tcW w:w="4819" w:type="dxa"/>
          </w:tcPr>
          <w:p/>
        </w:tc>
        <w:tc>
          <w:tcPr>
            <w:tcW w:w="4819" w:type="dxa"/>
          </w:tcPr>
          <w:p>
            <w:proofErr w:type="spellStart"/>
            <w:r>
              <w:t>Alterssabbatical</w:t>
            </w:r>
            <w:proofErr w:type="spellEnd"/>
          </w:p>
          <w:p/>
          <w:p>
            <w:r>
              <w:t>Zuordnung wegen herabgesetzter Leistungsfähigkeit</w:t>
            </w:r>
          </w:p>
        </w:tc>
      </w:tr>
    </w:tbl>
    <w:p/>
    <w:sectPr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rPr>
        <w:noProof/>
        <w:lang w:val="de-DE"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C63F9"/>
    <w:multiLevelType w:val="hybridMultilevel"/>
    <w:tmpl w:val="7368DAD8"/>
    <w:lvl w:ilvl="0" w:tplc="E624A1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19E6-4EF8-41BD-8389-8E52FE95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ACA0-E8C1-4967-8B51-09994BF5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Landsteiner Johannes (IVW3)</dc:creator>
  <cp:keywords/>
  <dc:description/>
  <cp:lastModifiedBy>Landsteiner Johannes (IVW3)</cp:lastModifiedBy>
  <cp:revision>4</cp:revision>
  <dcterms:created xsi:type="dcterms:W3CDTF">2024-07-24T14:11:00Z</dcterms:created>
  <dcterms:modified xsi:type="dcterms:W3CDTF">2024-09-08T15:06:00Z</dcterms:modified>
</cp:coreProperties>
</file>